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8A698">
      <w:pPr>
        <w:spacing w:after="200" w:line="276" w:lineRule="auto"/>
        <w:jc w:val="center"/>
      </w:pPr>
      <w:r>
        <w:rPr>
          <w:rFonts w:ascii="宋体" w:hAnsi="宋体" w:eastAsia="宋体"/>
          <w:b/>
          <w:sz w:val="32"/>
        </w:rPr>
        <w:t>代码实践：使用 MLP 完成智能楼宇每日能耗回归预测</w:t>
      </w:r>
    </w:p>
    <w:p w14:paraId="057318A1">
      <w:pPr>
        <w:spacing w:after="100" w:line="276" w:lineRule="auto"/>
        <w:jc w:val="center"/>
      </w:pPr>
      <w:r>
        <w:rPr>
          <w:rFonts w:ascii="宋体" w:hAnsi="宋体" w:eastAsia="宋体"/>
          <w:b w:val="0"/>
          <w:sz w:val="20"/>
        </w:rPr>
        <w:t>适用对象：已了解 MLP 基本结构、前向传播、损失函数、梯度下降与训练/推理流程的学习者。</w:t>
      </w:r>
    </w:p>
    <w:p w14:paraId="4DBE9318">
      <w:pPr>
        <w:spacing w:before="120" w:after="80"/>
      </w:pPr>
      <w:r>
        <w:rPr>
          <w:rFonts w:ascii="黑体" w:hAnsi="黑体" w:eastAsia="黑体"/>
          <w:b/>
          <w:sz w:val="28"/>
        </w:rPr>
        <w:t>一、任务背景</w:t>
      </w:r>
    </w:p>
    <w:p w14:paraId="064C1E39">
      <w:pPr>
        <w:spacing w:after="100" w:line="276" w:lineRule="auto"/>
        <w:ind w:firstLine="420"/>
      </w:pPr>
      <w:r>
        <w:rPr>
          <w:rFonts w:ascii="宋体" w:hAnsi="宋体" w:eastAsia="宋体"/>
          <w:b w:val="0"/>
          <w:sz w:val="22"/>
        </w:rPr>
        <w:t>某公司希望根据办公楼每天的运行情况，提前预测当天的用电量，从而辅助能耗管理。你将获得一份模拟的智能楼宇运行数据，每条样本表示某一天的楼宇状态，包括天气、楼宇使用时长、人员规模、会议数量、空调设定温度等信息。你的任务是训练一个基本的多层感知机（MLP）回归模型，预测目标变量 daily_energy_kwh（每日用电量，单位：kWh）。</w:t>
      </w:r>
    </w:p>
    <w:p w14:paraId="19EBF9B7">
      <w:pPr>
        <w:spacing w:before="120" w:after="80"/>
      </w:pPr>
      <w:r>
        <w:rPr>
          <w:rFonts w:ascii="黑体" w:hAnsi="黑体" w:eastAsia="黑体"/>
          <w:b/>
          <w:sz w:val="28"/>
        </w:rPr>
        <w:t>二、数据文件</w:t>
      </w:r>
    </w:p>
    <w:p w14:paraId="370D383E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数据文件：MLP回归实践数据_智能楼宇能耗预测.xlsx</w:t>
      </w:r>
    </w:p>
    <w:p w14:paraId="45AA85BE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Excel 中包含以下工作表：</w:t>
      </w:r>
    </w:p>
    <w:p w14:paraId="567A4A39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train_data：训练数据，包含特征和目标值 daily_energy_kwh。</w:t>
      </w:r>
    </w:p>
    <w:p w14:paraId="244F0E10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test_data：测试数据，包含特征和目标值，可用于最终评估模型效果。</w:t>
      </w:r>
    </w:p>
    <w:p w14:paraId="6F42E48A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inference_cases：待推理样本，只包含特征，不提供目标值，需要用训练好的模型给出预测。</w:t>
      </w:r>
    </w:p>
    <w:p w14:paraId="6BA8C066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data_dictionary：字段说明、取值范围和建模提示。</w:t>
      </w:r>
    </w:p>
    <w:p w14:paraId="2A812407">
      <w:pPr>
        <w:spacing w:before="120" w:after="80"/>
      </w:pPr>
      <w:r>
        <w:rPr>
          <w:rFonts w:ascii="黑体" w:hAnsi="黑体" w:eastAsia="黑体"/>
          <w:b/>
          <w:sz w:val="28"/>
        </w:rPr>
        <w:t>三、实践要求</w:t>
      </w:r>
    </w:p>
    <w:p w14:paraId="3008D751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（1）读取 Excel 数据，完成必要的数据检查和预处理。</w:t>
      </w:r>
    </w:p>
    <w:p w14:paraId="406D8064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（2）对连续特征进行标准化或归一化；不要把目标值 daily_energy_kwh 当作输入特征。</w:t>
      </w:r>
    </w:p>
    <w:p w14:paraId="35803700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（3）使用 train_data 训练 MLP 回归模型，可从训练集中再划分验证集。</w:t>
      </w:r>
    </w:p>
    <w:p w14:paraId="1F9B6907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（4）MLP 至少包含 1 个隐藏层，隐藏层神经元数量、激活函数、学习率、batch size 等可自行设置。</w:t>
      </w:r>
    </w:p>
    <w:p w14:paraId="087AC0E0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（5）损失函数建议使用 MSELoss；优化器可使用 SGD 或 Adam。</w:t>
      </w:r>
    </w:p>
    <w:p w14:paraId="448022BD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（6）记录并展示训练损失和验证损失的变化，观察是否出现欠拟合或过拟合。</w:t>
      </w:r>
    </w:p>
    <w:p w14:paraId="4CFECF37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（7）在 test_data 上报告至少 2 个回归指标，例如 MAE、RMSE、R2。</w:t>
      </w:r>
    </w:p>
    <w:p w14:paraId="41852564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（8）对 inference_cases 中的样本进行推理，输出每条样本的预测用电量。</w:t>
      </w:r>
    </w:p>
    <w:p w14:paraId="3634D6BE">
      <w:pPr>
        <w:spacing w:before="120" w:after="80"/>
      </w:pPr>
      <w:r>
        <w:rPr>
          <w:rFonts w:ascii="黑体" w:hAnsi="黑体" w:eastAsia="黑体"/>
          <w:b/>
          <w:sz w:val="28"/>
        </w:rPr>
        <w:t>四、建议实现步骤</w:t>
      </w:r>
    </w:p>
    <w:p w14:paraId="1B361FAA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1. 数据读取：用 pandas.read_excel 读取 train_data、test_data 和 inference_cases。</w:t>
      </w:r>
    </w:p>
    <w:p w14:paraId="27ACC468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2. 特征划分：X 为所有输入特征，y 为 daily_energy_kwh。</w:t>
      </w:r>
    </w:p>
    <w:p w14:paraId="044C0B31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3. 预处理：用训练集均值和标准差标准化训练集、测试集和待推理样本。</w:t>
      </w:r>
    </w:p>
    <w:p w14:paraId="07600237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4. 模型定义：输入层维度等于特征数，输出层为 1 个神经元。</w:t>
      </w:r>
    </w:p>
    <w:p w14:paraId="1EE0CB19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5. 训练循环：前向传播 -&gt; 计算损失 -&gt; 反向传播 -&gt; 参数更新。</w:t>
      </w:r>
    </w:p>
    <w:p w14:paraId="00F6E968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6. 模型评估：在验证集/测试集上切换到 eval 模式，不进行梯度更新。</w:t>
      </w:r>
    </w:p>
    <w:p w14:paraId="226ED3B5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7. 模型推理：对 inference_cases 生成预测结果，可保存为 Excel 或 CSV。</w:t>
      </w:r>
    </w:p>
    <w:p w14:paraId="60DB8C62">
      <w:pPr>
        <w:spacing w:before="120" w:after="80"/>
      </w:pPr>
      <w:r>
        <w:rPr>
          <w:rFonts w:ascii="黑体" w:hAnsi="黑体" w:eastAsia="黑体"/>
          <w:b/>
          <w:sz w:val="28"/>
        </w:rPr>
        <w:t>五、提交内容</w:t>
      </w:r>
    </w:p>
    <w:p w14:paraId="5D89C3C5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• 源代码文件或 notebook，要求能从原始 Excel 数据开始运行。</w:t>
      </w:r>
    </w:p>
    <w:p w14:paraId="54DA0AB2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• 简短实验报告：说明模型结构、主要超参数、训练曲线、测试指标和推理结果。</w:t>
      </w:r>
    </w:p>
    <w:p w14:paraId="51B1D88E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• 推理结果文件：包含 case_id 和 predicted_daily_energy_kwh 两列。</w:t>
      </w:r>
    </w:p>
    <w:p w14:paraId="54C24ED5">
      <w:pPr>
        <w:spacing w:before="120" w:after="80"/>
      </w:pPr>
      <w:r>
        <w:rPr>
          <w:rFonts w:ascii="黑体" w:hAnsi="黑体" w:eastAsia="黑体"/>
          <w:b/>
          <w:sz w:val="28"/>
        </w:rPr>
        <w:t>六、评分参考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6"/>
        <w:gridCol w:w="4986"/>
      </w:tblGrid>
      <w:tr w14:paraId="2E1D60F6">
        <w:tc>
          <w:tcPr>
            <w:tcW w:w="4986" w:type="dxa"/>
          </w:tcPr>
          <w:p w14:paraId="73A400A9">
            <w:pPr>
              <w:spacing w:after="0" w:line="240" w:lineRule="auto"/>
            </w:pPr>
            <w:r>
              <w:rPr>
                <w:rFonts w:ascii="宋体" w:hAnsi="宋体" w:eastAsia="宋体"/>
                <w:b w:val="0"/>
                <w:sz w:val="20"/>
              </w:rPr>
              <w:t>评分项</w:t>
            </w:r>
          </w:p>
        </w:tc>
        <w:tc>
          <w:tcPr>
            <w:tcW w:w="4986" w:type="dxa"/>
          </w:tcPr>
          <w:p w14:paraId="005310EF">
            <w:pPr>
              <w:spacing w:after="0" w:line="240" w:lineRule="auto"/>
            </w:pPr>
            <w:r>
              <w:rPr>
                <w:rFonts w:ascii="宋体" w:hAnsi="宋体" w:eastAsia="宋体"/>
                <w:b w:val="0"/>
                <w:sz w:val="20"/>
              </w:rPr>
              <w:t>说明</w:t>
            </w:r>
          </w:p>
        </w:tc>
      </w:tr>
      <w:tr w14:paraId="0691F168">
        <w:tc>
          <w:tcPr>
            <w:tcW w:w="4986" w:type="dxa"/>
          </w:tcPr>
          <w:p w14:paraId="73FB024B">
            <w:pPr>
              <w:spacing w:after="0" w:line="240" w:lineRule="auto"/>
            </w:pPr>
            <w:r>
              <w:rPr>
                <w:rFonts w:ascii="宋体" w:hAnsi="宋体" w:eastAsia="宋体"/>
                <w:b w:val="0"/>
                <w:sz w:val="20"/>
              </w:rPr>
              <w:t>数据处理（20%）</w:t>
            </w:r>
          </w:p>
        </w:tc>
        <w:tc>
          <w:tcPr>
            <w:tcW w:w="4986" w:type="dxa"/>
          </w:tcPr>
          <w:p w14:paraId="71EA4960">
            <w:pPr>
              <w:spacing w:after="0" w:line="240" w:lineRule="auto"/>
            </w:pPr>
            <w:r>
              <w:rPr>
                <w:rFonts w:ascii="宋体" w:hAnsi="宋体" w:eastAsia="宋体"/>
                <w:b w:val="0"/>
                <w:sz w:val="20"/>
              </w:rPr>
              <w:t>能够正确读取数据、划分特征和目标，合理标准化。</w:t>
            </w:r>
          </w:p>
        </w:tc>
      </w:tr>
      <w:tr w14:paraId="36C6BD2F">
        <w:tc>
          <w:tcPr>
            <w:tcW w:w="4986" w:type="dxa"/>
          </w:tcPr>
          <w:p w14:paraId="7B53B529">
            <w:pPr>
              <w:spacing w:after="0" w:line="240" w:lineRule="auto"/>
            </w:pPr>
            <w:r>
              <w:rPr>
                <w:rFonts w:ascii="宋体" w:hAnsi="宋体" w:eastAsia="宋体"/>
                <w:b w:val="0"/>
                <w:sz w:val="20"/>
              </w:rPr>
              <w:t>MLP 实现（30%）</w:t>
            </w:r>
          </w:p>
        </w:tc>
        <w:tc>
          <w:tcPr>
            <w:tcW w:w="4986" w:type="dxa"/>
          </w:tcPr>
          <w:p w14:paraId="2C56DAF5">
            <w:pPr>
              <w:spacing w:after="0" w:line="240" w:lineRule="auto"/>
            </w:pPr>
            <w:r>
              <w:rPr>
                <w:rFonts w:ascii="宋体" w:hAnsi="宋体" w:eastAsia="宋体"/>
                <w:b w:val="0"/>
                <w:sz w:val="20"/>
              </w:rPr>
              <w:t>模型结构清晰，训练循环完整，能正确完成前向传播、损失计算和参数更新。</w:t>
            </w:r>
          </w:p>
        </w:tc>
      </w:tr>
      <w:tr w14:paraId="71D17394">
        <w:tc>
          <w:tcPr>
            <w:tcW w:w="4986" w:type="dxa"/>
          </w:tcPr>
          <w:p w14:paraId="6A759E58">
            <w:pPr>
              <w:spacing w:after="0" w:line="240" w:lineRule="auto"/>
            </w:pPr>
            <w:r>
              <w:rPr>
                <w:rFonts w:ascii="宋体" w:hAnsi="宋体" w:eastAsia="宋体"/>
                <w:b w:val="0"/>
                <w:sz w:val="20"/>
              </w:rPr>
              <w:t>评估与推理（25%）</w:t>
            </w:r>
          </w:p>
        </w:tc>
        <w:tc>
          <w:tcPr>
            <w:tcW w:w="4986" w:type="dxa"/>
          </w:tcPr>
          <w:p w14:paraId="47ECE48B">
            <w:pPr>
              <w:spacing w:after="0" w:line="240" w:lineRule="auto"/>
            </w:pPr>
            <w:r>
              <w:rPr>
                <w:rFonts w:ascii="宋体" w:hAnsi="宋体" w:eastAsia="宋体"/>
                <w:b w:val="0"/>
                <w:sz w:val="20"/>
              </w:rPr>
              <w:t>能在测试集上计算回归指标，并完成 inference_cases 推理。</w:t>
            </w:r>
          </w:p>
        </w:tc>
      </w:tr>
      <w:tr w14:paraId="39631F4C">
        <w:tc>
          <w:tcPr>
            <w:tcW w:w="4986" w:type="dxa"/>
          </w:tcPr>
          <w:p w14:paraId="2A8F85F8">
            <w:pPr>
              <w:spacing w:after="0" w:line="240" w:lineRule="auto"/>
            </w:pPr>
            <w:r>
              <w:rPr>
                <w:rFonts w:ascii="宋体" w:hAnsi="宋体" w:eastAsia="宋体"/>
                <w:b w:val="0"/>
                <w:sz w:val="20"/>
              </w:rPr>
              <w:t>分析与表达（15%）</w:t>
            </w:r>
          </w:p>
        </w:tc>
        <w:tc>
          <w:tcPr>
            <w:tcW w:w="4986" w:type="dxa"/>
          </w:tcPr>
          <w:p w14:paraId="53FF8C3B">
            <w:pPr>
              <w:spacing w:after="0" w:line="240" w:lineRule="auto"/>
            </w:pPr>
            <w:r>
              <w:rPr>
                <w:rFonts w:ascii="宋体" w:hAnsi="宋体" w:eastAsia="宋体"/>
                <w:b w:val="0"/>
                <w:sz w:val="20"/>
              </w:rPr>
              <w:t>能解释训练曲线、误差来源和超参数影响。</w:t>
            </w:r>
          </w:p>
        </w:tc>
      </w:tr>
      <w:tr w14:paraId="49CD9C9D">
        <w:tc>
          <w:tcPr>
            <w:tcW w:w="4986" w:type="dxa"/>
          </w:tcPr>
          <w:p w14:paraId="6095B15C">
            <w:pPr>
              <w:spacing w:after="0" w:line="240" w:lineRule="auto"/>
            </w:pPr>
            <w:r>
              <w:rPr>
                <w:rFonts w:ascii="宋体" w:hAnsi="宋体" w:eastAsia="宋体"/>
                <w:b w:val="0"/>
                <w:sz w:val="20"/>
              </w:rPr>
              <w:t>代码规范（10%）</w:t>
            </w:r>
          </w:p>
        </w:tc>
        <w:tc>
          <w:tcPr>
            <w:tcW w:w="4986" w:type="dxa"/>
          </w:tcPr>
          <w:p w14:paraId="29CD7C7B">
            <w:pPr>
              <w:spacing w:after="0" w:line="240" w:lineRule="auto"/>
            </w:pPr>
            <w:r>
              <w:rPr>
                <w:rFonts w:ascii="宋体" w:hAnsi="宋体" w:eastAsia="宋体"/>
                <w:b w:val="0"/>
                <w:sz w:val="20"/>
              </w:rPr>
              <w:t>代码可运行、结构清楚、变量命名合理。</w:t>
            </w:r>
          </w:p>
        </w:tc>
      </w:tr>
    </w:tbl>
    <w:p w14:paraId="084DB95C">
      <w:pPr>
        <w:spacing w:before="120" w:after="80"/>
      </w:pPr>
      <w:r>
        <w:rPr>
          <w:rFonts w:ascii="黑体" w:hAnsi="黑体" w:eastAsia="黑体"/>
          <w:b/>
          <w:sz w:val="28"/>
        </w:rPr>
        <w:t>七、提示</w:t>
      </w:r>
    </w:p>
    <w:p w14:paraId="02BB389C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• 如果模型训练不稳定，优先检查输入特征是否标准化、学习率是否过大。</w:t>
      </w:r>
    </w:p>
    <w:p w14:paraId="00609E6D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• 如果训练误差很低但测试误差很高，可能出现过拟合，可尝试减小模型规模、增加 weight decay 或早停。</w:t>
      </w:r>
    </w:p>
    <w:p w14:paraId="7A11F033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• 如果训练误差和测试误差都较高，可能出现欠拟合，可尝试增加隐藏层神经元、训练更久或调整学习率。</w:t>
      </w:r>
    </w:p>
    <w:p w14:paraId="5B36AE46">
      <w:pPr>
        <w:spacing w:after="100" w:line="276" w:lineRule="auto"/>
      </w:pPr>
      <w:r>
        <w:rPr>
          <w:rFonts w:ascii="宋体" w:hAnsi="宋体" w:eastAsia="宋体"/>
          <w:b w:val="0"/>
          <w:sz w:val="22"/>
        </w:rPr>
        <w:t>• 推理阶段要使用和训练阶段完全相同的特征顺序与标准化参数。</w:t>
      </w:r>
    </w:p>
    <w:p w14:paraId="7BD584A0">
      <w:pPr>
        <w:spacing w:after="0" w:line="276" w:lineRule="auto"/>
        <w:rPr>
          <w:rFonts w:ascii="宋体" w:hAnsi="宋体" w:eastAsia="宋体"/>
          <w:b w:val="0"/>
          <w:sz w:val="22"/>
        </w:rPr>
      </w:pPr>
      <w:r>
        <w:rPr>
          <w:rFonts w:ascii="宋体" w:hAnsi="宋体" w:eastAsia="宋体"/>
          <w:b w:val="0"/>
          <w:sz w:val="22"/>
        </w:rPr>
        <w:t xml:space="preserve">姓名：______________  </w:t>
      </w:r>
      <w:r>
        <w:rPr>
          <w:rFonts w:hint="eastAsia"/>
          <w:b w:val="0"/>
          <w:sz w:val="22"/>
          <w:lang w:val="en-US" w:eastAsia="zh-CN"/>
        </w:rPr>
        <w:t>单位</w:t>
      </w:r>
      <w:r>
        <w:rPr>
          <w:rFonts w:ascii="宋体" w:hAnsi="宋体" w:eastAsia="宋体"/>
          <w:b w:val="0"/>
          <w:sz w:val="22"/>
        </w:rPr>
        <w:t>：______________</w:t>
      </w:r>
    </w:p>
    <w:p w14:paraId="4D00715D">
      <w:pPr>
        <w:spacing w:after="0" w:line="276" w:lineRule="auto"/>
        <w:rPr>
          <w:rFonts w:hint="default" w:ascii="宋体" w:hAnsi="宋体" w:eastAsia="宋体"/>
          <w:b w:val="0"/>
          <w:sz w:val="22"/>
          <w:lang w:val="en-US" w:eastAsia="zh-CN"/>
        </w:rPr>
      </w:pPr>
      <w:r>
        <w:rPr>
          <w:rFonts w:hint="eastAsia"/>
          <w:b w:val="0"/>
          <w:sz w:val="22"/>
          <w:lang w:val="en-US" w:eastAsia="zh-CN"/>
        </w:rPr>
        <w:t>发送至邮箱：machael2233@163.com，邮件标题注明姓名。</w:t>
      </w:r>
      <w:bookmarkStart w:id="0" w:name="_GoBack"/>
      <w:bookmarkEnd w:id="0"/>
    </w:p>
    <w:sectPr>
      <w:pgSz w:w="12240" w:h="15840"/>
      <w:pgMar w:top="1020" w:right="1134" w:bottom="1020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auto"/>
    <w:pitch w:val="default"/>
    <w:sig w:usb0="00000000" w:usb1="00000000" w:usb2="00000000" w:usb3="00000000" w:csb0="0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ＭＳ 明朝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ＭＳ ゴシック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Courier">
    <w:altName w:val="苹方-简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ＭＳ ゴシック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79D45BF"/>
    <w:rsid w:val="7FF7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/APA.XSL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2013-12-24T15:15:00Z</dcterms:created>
  <dc:creator>python-docx</dc:creator>
  <dc:description>generated by python-docx</dc:description>
  <cp:lastModifiedBy>木兮</cp:lastModifiedBy>
  <dcterms:modified xsi:type="dcterms:W3CDTF">2026-05-27T15:19:12Z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046DBADF2DF71CDA5699166A6F3BD557_42</vt:lpwstr>
  </property>
</Properties>
</file>